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8F" w:rsidRDefault="00572776">
      <w:pPr>
        <w:pStyle w:val="Heading1"/>
        <w:spacing w:before="47"/>
        <w:ind w:right="483" w:firstLine="483"/>
      </w:pPr>
      <w:r>
        <w:t>Irish American Scholars Program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365125</wp:posOffset>
            </wp:positionH>
            <wp:positionV relativeFrom="paragraph">
              <wp:posOffset>575910</wp:posOffset>
            </wp:positionV>
            <wp:extent cx="1790700" cy="1828800"/>
            <wp:effectExtent l="0" t="0" r="0" b="0"/>
            <wp:wrapNone/>
            <wp:docPr id="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4"/>
          <w:szCs w:val="44"/>
        </w:rPr>
      </w:pP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47"/>
          <w:szCs w:val="47"/>
        </w:rPr>
      </w:pPr>
    </w:p>
    <w:p w:rsidR="007E3D8F" w:rsidRDefault="00572776">
      <w:pPr>
        <w:ind w:left="3724" w:right="291" w:firstLine="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Student Opportunity for a Tuition Free Semester of Study in Northern Ireland</w:t>
      </w: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8"/>
          <w:szCs w:val="58"/>
        </w:rPr>
      </w:pPr>
    </w:p>
    <w:p w:rsidR="007E3D8F" w:rsidRDefault="00572776">
      <w:pPr>
        <w:ind w:left="484" w:right="483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Sponsored by</w:t>
      </w:r>
    </w:p>
    <w:p w:rsidR="007E3D8F" w:rsidRDefault="00572776">
      <w:pPr>
        <w:spacing w:before="120"/>
        <w:ind w:left="1866" w:right="18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Association of Presbyterian Colleges and Universities United Methodist Church-Related Colleges and Universities</w:t>
      </w:r>
    </w:p>
    <w:p w:rsidR="007E3D8F" w:rsidRDefault="00572776">
      <w:pPr>
        <w:spacing w:line="293" w:lineRule="auto"/>
        <w:ind w:left="481" w:right="4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St. Thomas Houston (Catholic Colleges and Universities)</w:t>
      </w: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E3D8F" w:rsidRDefault="00572776">
      <w:pPr>
        <w:ind w:left="3839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 cooperation with</w:t>
      </w:r>
    </w:p>
    <w:p w:rsidR="007E3D8F" w:rsidRDefault="00572776">
      <w:pPr>
        <w:tabs>
          <w:tab w:val="left" w:pos="5005"/>
          <w:tab w:val="left" w:pos="6402"/>
        </w:tabs>
        <w:spacing w:before="120"/>
        <w:ind w:left="1498" w:right="15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 University Belfast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Ulster University St. Mary’s University College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Stranmillis</w:t>
      </w:r>
      <w:proofErr w:type="spellEnd"/>
      <w:r>
        <w:rPr>
          <w:b/>
          <w:sz w:val="24"/>
          <w:szCs w:val="24"/>
        </w:rPr>
        <w:t xml:space="preserve"> University College Belfast Metropolitan College</w:t>
      </w: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7E3D8F" w:rsidRDefault="00572776">
      <w:pPr>
        <w:spacing w:before="1" w:line="340" w:lineRule="auto"/>
        <w:ind w:left="3256" w:right="3237" w:firstLine="631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In association with</w:t>
      </w:r>
      <w:r>
        <w:rPr>
          <w:b/>
          <w:sz w:val="24"/>
          <w:szCs w:val="24"/>
        </w:rPr>
        <w:t xml:space="preserve"> STUDY USA of Northern Ireland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584200</wp:posOffset>
                </wp:positionV>
                <wp:extent cx="5981065" cy="18275"/>
                <wp:effectExtent l="0" t="0" r="0" b="0"/>
                <wp:wrapTopAndBottom distT="0" distB="0"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468" y="3779365"/>
                          <a:ext cx="5981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9" h="120000" extrusionOk="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584200</wp:posOffset>
                </wp:positionV>
                <wp:extent cx="5981065" cy="18275"/>
                <wp:effectExtent b="0" l="0" r="0" t="0"/>
                <wp:wrapTopAndBottom distB="0" distT="0"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065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ind w:left="140" w:right="142"/>
        <w:rPr>
          <w:color w:val="000000"/>
          <w:sz w:val="24"/>
          <w:szCs w:val="24"/>
        </w:rPr>
      </w:pPr>
    </w:p>
    <w:p w:rsidR="007E3D8F" w:rsidRDefault="0057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Participating Northern Ireland Institutions</w:t>
      </w: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ind w:left="140" w:right="142"/>
        <w:rPr>
          <w:color w:val="000000"/>
          <w:sz w:val="24"/>
          <w:szCs w:val="24"/>
        </w:rPr>
      </w:pP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ind w:left="140" w:right="142"/>
        <w:rPr>
          <w:color w:val="000000"/>
          <w:sz w:val="24"/>
          <w:szCs w:val="24"/>
        </w:rPr>
      </w:pPr>
    </w:p>
    <w:p w:rsidR="007E3D8F" w:rsidRDefault="0057277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22666" cy="1437073"/>
            <wp:effectExtent l="0" t="0" r="0" b="0"/>
            <wp:docPr id="14" name="image1.jpg" descr="Coronavirus case identified at Queen's University - Belfast L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ronavirus case identified at Queen's University - Belfast Liv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666" cy="1437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3D8F" w:rsidRDefault="00572776">
      <w:pPr>
        <w:jc w:val="center"/>
      </w:pPr>
      <w:r>
        <w:t>Queens University Belfast - Stock image</w:t>
      </w:r>
    </w:p>
    <w:p w:rsidR="007E3D8F" w:rsidRDefault="007E3D8F">
      <w:pPr>
        <w:jc w:val="center"/>
        <w:rPr>
          <w:b/>
          <w:sz w:val="28"/>
          <w:szCs w:val="28"/>
        </w:rPr>
      </w:pPr>
    </w:p>
    <w:p w:rsidR="007E3D8F" w:rsidRDefault="007E3D8F">
      <w:pPr>
        <w:jc w:val="center"/>
        <w:rPr>
          <w:b/>
          <w:sz w:val="28"/>
          <w:szCs w:val="28"/>
        </w:rPr>
      </w:pPr>
    </w:p>
    <w:p w:rsidR="007E3D8F" w:rsidRDefault="00572776">
      <w:pPr>
        <w:spacing w:before="117"/>
        <w:ind w:left="140" w:right="463"/>
      </w:pPr>
      <w:r>
        <w:rPr>
          <w:b/>
        </w:rPr>
        <w:t xml:space="preserve">Queens University Belfast </w:t>
      </w:r>
      <w:r>
        <w:t xml:space="preserve">is one of the 20 top research-intensive institutions in the United Kingdom. While the university does not offer courses in all disciplines, most U.S. students will find appropriate subjects at Queens University. </w:t>
      </w:r>
      <w:hyperlink r:id="rId10">
        <w:r>
          <w:rPr>
            <w:color w:val="0000FF"/>
            <w:u w:val="single"/>
          </w:rPr>
          <w:t>www.qub.ac.uk</w:t>
        </w:r>
      </w:hyperlink>
      <w:r>
        <w:rPr>
          <w:color w:val="0000FF"/>
          <w:u w:val="single"/>
        </w:rPr>
        <w:t xml:space="preserve"> </w:t>
      </w: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1"/>
          <w:szCs w:val="11"/>
        </w:rPr>
      </w:pPr>
    </w:p>
    <w:p w:rsidR="007E3D8F" w:rsidRDefault="00572776">
      <w:pPr>
        <w:spacing w:before="56"/>
        <w:ind w:left="140" w:right="151"/>
        <w:rPr>
          <w:color w:val="0000FF"/>
          <w:u w:val="single"/>
        </w:rPr>
      </w:pPr>
      <w:r>
        <w:rPr>
          <w:b/>
        </w:rPr>
        <w:t xml:space="preserve">Ulster University </w:t>
      </w:r>
      <w:r>
        <w:t xml:space="preserve">has a national and international reputation for excellence. With four distinct campuses across Northern Ireland, students are placed at a specific campus based on their field of study. </w:t>
      </w:r>
      <w:hyperlink r:id="rId11">
        <w:r>
          <w:rPr>
            <w:color w:val="0000FF"/>
            <w:u w:val="single"/>
          </w:rPr>
          <w:t>www.ulster.ac.uk</w:t>
        </w:r>
      </w:hyperlink>
    </w:p>
    <w:p w:rsidR="007E3D8F" w:rsidRDefault="00572776">
      <w:pPr>
        <w:spacing w:before="56"/>
        <w:ind w:left="140" w:right="151"/>
      </w:pPr>
      <w:r>
        <w:rPr>
          <w:noProof/>
        </w:rPr>
        <w:lastRenderedPageBreak/>
        <w:drawing>
          <wp:inline distT="0" distB="0" distL="0" distR="0">
            <wp:extent cx="6137614" cy="3509288"/>
            <wp:effectExtent l="0" t="0" r="0" b="0"/>
            <wp:docPr id="13" name="image4.jpg" descr="History Ire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istory Irelan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7614" cy="350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3D8F" w:rsidRDefault="007E3D8F">
      <w:pPr>
        <w:spacing w:before="56"/>
        <w:ind w:left="140" w:right="151"/>
      </w:pPr>
    </w:p>
    <w:p w:rsidR="007E3D8F" w:rsidRDefault="00572776">
      <w:pPr>
        <w:spacing w:before="56"/>
        <w:ind w:left="140" w:right="151"/>
      </w:pPr>
      <w:r>
        <w:t>Ulster University                                                                                                                           Historyireland.com</w:t>
      </w: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1"/>
          <w:szCs w:val="11"/>
        </w:rPr>
      </w:pPr>
    </w:p>
    <w:p w:rsidR="007E3D8F" w:rsidRDefault="00572776">
      <w:pPr>
        <w:spacing w:before="56"/>
        <w:ind w:left="140" w:right="430"/>
        <w:rPr>
          <w:color w:val="0000FF"/>
          <w:u w:val="single"/>
        </w:rPr>
      </w:pPr>
      <w:bookmarkStart w:id="0" w:name="_heading=h.gjdgxs" w:colFirst="0" w:colLast="0"/>
      <w:bookmarkEnd w:id="0"/>
      <w:r>
        <w:rPr>
          <w:b/>
        </w:rPr>
        <w:t xml:space="preserve">St. Mary’s University College </w:t>
      </w:r>
      <w:r>
        <w:t>specializes in liberal arts and teacher</w:t>
      </w:r>
      <w:r>
        <w:t xml:space="preserve"> training, and is a part of the larger Queen’s University system. In 2011, St. Mary’s was ranked third amongst all universities in the United Kingdom for student satisfaction with their overall university experience. </w:t>
      </w:r>
      <w:hyperlink r:id="rId13">
        <w:r>
          <w:rPr>
            <w:color w:val="0000FF"/>
            <w:u w:val="single"/>
          </w:rPr>
          <w:t>www.stmarys-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/>
          </w:rPr>
          <w:t>belfast.ac.uk</w:t>
        </w:r>
      </w:hyperlink>
    </w:p>
    <w:p w:rsidR="007E3D8F" w:rsidRDefault="007E3D8F">
      <w:pPr>
        <w:spacing w:before="56"/>
        <w:ind w:left="140" w:right="430"/>
      </w:pPr>
    </w:p>
    <w:p w:rsidR="007E3D8F" w:rsidRDefault="00572776">
      <w:pPr>
        <w:spacing w:before="56"/>
        <w:ind w:left="140" w:right="485"/>
      </w:pPr>
      <w:r>
        <w:t xml:space="preserve">  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98799</wp:posOffset>
            </wp:positionH>
            <wp:positionV relativeFrom="paragraph">
              <wp:posOffset>37465</wp:posOffset>
            </wp:positionV>
            <wp:extent cx="3184525" cy="1617345"/>
            <wp:effectExtent l="0" t="0" r="0" b="0"/>
            <wp:wrapSquare wrapText="bothSides" distT="0" distB="0" distL="114300" distR="114300"/>
            <wp:docPr id="11" name="image2.jpg" descr="C:\Users\joseph.macade\AppData\Local\Microsoft\Windows\INetCache\Content.MSO\51FFF6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joseph.macade\AppData\Local\Microsoft\Windows\INetCache\Content.MSO\51FFF6C.tmp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1617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3D8F" w:rsidRDefault="00572776">
      <w:pPr>
        <w:spacing w:before="56"/>
        <w:ind w:left="140" w:right="485"/>
      </w:pPr>
      <w:proofErr w:type="spellStart"/>
      <w:r>
        <w:rPr>
          <w:b/>
        </w:rPr>
        <w:t>Stranmillis</w:t>
      </w:r>
      <w:proofErr w:type="spellEnd"/>
      <w:r>
        <w:rPr>
          <w:b/>
        </w:rPr>
        <w:t xml:space="preserve"> University College </w:t>
      </w:r>
      <w:r>
        <w:t xml:space="preserve">is highly recognized for its teacher training curriculum, but also offers courses in early childhood and health and leisure  </w:t>
      </w:r>
      <w:r>
        <w:t xml:space="preserve"> studies. </w:t>
      </w:r>
      <w:proofErr w:type="spellStart"/>
      <w:r>
        <w:t>Stranmillis</w:t>
      </w:r>
      <w:proofErr w:type="spellEnd"/>
      <w:r>
        <w:t xml:space="preserve"> is a college within the system of Queen’s University Belfast. </w:t>
      </w:r>
      <w:hyperlink r:id="rId16">
        <w:r>
          <w:rPr>
            <w:color w:val="0000FF"/>
            <w:u w:val="single"/>
          </w:rPr>
          <w:t>www.stran.ac.uk</w:t>
        </w:r>
      </w:hyperlink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1"/>
          <w:szCs w:val="11"/>
        </w:rPr>
      </w:pPr>
      <w:bookmarkStart w:id="1" w:name="_heading=h.30j0zll" w:colFirst="0" w:colLast="0"/>
      <w:bookmarkEnd w:id="1"/>
    </w:p>
    <w:p w:rsidR="007E3D8F" w:rsidRDefault="007E3D8F">
      <w:pPr>
        <w:spacing w:before="57"/>
        <w:ind w:left="140" w:right="501"/>
        <w:rPr>
          <w:b/>
        </w:rPr>
      </w:pPr>
    </w:p>
    <w:p w:rsidR="007E3D8F" w:rsidRDefault="00572776">
      <w:pPr>
        <w:spacing w:before="56"/>
        <w:ind w:left="140" w:right="430"/>
        <w:rPr>
          <w:b/>
        </w:rPr>
      </w:pPr>
      <w:proofErr w:type="spellStart"/>
      <w:r>
        <w:t>Stranmillis</w:t>
      </w:r>
      <w:proofErr w:type="spellEnd"/>
      <w:r>
        <w:t xml:space="preserve"> University College                           istock.com</w:t>
      </w:r>
    </w:p>
    <w:p w:rsidR="007E3D8F" w:rsidRDefault="007E3D8F">
      <w:pPr>
        <w:spacing w:before="57"/>
        <w:ind w:left="140" w:right="501"/>
        <w:rPr>
          <w:b/>
        </w:rPr>
      </w:pPr>
    </w:p>
    <w:p w:rsidR="007E3D8F" w:rsidRDefault="00572776">
      <w:pPr>
        <w:spacing w:before="57"/>
        <w:ind w:left="140" w:right="501"/>
      </w:pPr>
      <w:bookmarkStart w:id="2" w:name="_heading=h.1fob9te" w:colFirst="0" w:colLast="0"/>
      <w:bookmarkEnd w:id="2"/>
      <w:r>
        <w:rPr>
          <w:b/>
        </w:rPr>
        <w:t xml:space="preserve">Belfast Metropolitan College </w:t>
      </w:r>
      <w:r>
        <w:t xml:space="preserve">specializes in educating students with strong career goals in vocational areas such as business, marketing, computing, performing arts, communication and Irish studies. </w:t>
      </w:r>
      <w:hyperlink r:id="rId17">
        <w:r>
          <w:rPr>
            <w:color w:val="0000FF"/>
            <w:u w:val="single"/>
          </w:rPr>
          <w:t>www.belfastmet.ac.uk</w:t>
        </w:r>
      </w:hyperlink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1"/>
          <w:szCs w:val="11"/>
        </w:rPr>
      </w:pPr>
    </w:p>
    <w:p w:rsidR="007E3D8F" w:rsidRDefault="00572776">
      <w:pPr>
        <w:spacing w:before="57"/>
        <w:ind w:left="140" w:right="217"/>
        <w:rPr>
          <w:b/>
        </w:rPr>
      </w:pPr>
      <w:r>
        <w:rPr>
          <w:b/>
        </w:rPr>
        <w:t xml:space="preserve"> </w:t>
      </w:r>
    </w:p>
    <w:p w:rsidR="007E3D8F" w:rsidRDefault="00572776">
      <w:pPr>
        <w:spacing w:line="341" w:lineRule="auto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t>Limitations</w:t>
      </w:r>
    </w:p>
    <w:p w:rsidR="007E3D8F" w:rsidRDefault="00572776">
      <w:pPr>
        <w:pBdr>
          <w:top w:val="nil"/>
          <w:left w:val="nil"/>
          <w:bottom w:val="nil"/>
          <w:right w:val="nil"/>
          <w:between w:val="nil"/>
        </w:pBdr>
        <w:ind w:left="140"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</w:t>
      </w:r>
      <w:r>
        <w:rPr>
          <w:color w:val="000000"/>
          <w:sz w:val="24"/>
          <w:szCs w:val="24"/>
        </w:rPr>
        <w:t>ools in Northern Ireland limit the number of students they accept as Irish American Scholars. Acceptance is generally determined by space availability and by a student’s GPA. Students who apply for a full year may be offered only one semester because of sp</w:t>
      </w:r>
      <w:r>
        <w:rPr>
          <w:color w:val="000000"/>
          <w:sz w:val="24"/>
          <w:szCs w:val="24"/>
        </w:rPr>
        <w:t>ace limitations. In addition, there are generally fewer opportunities to place students during the spring semester.</w:t>
      </w: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ind w:left="140" w:right="120"/>
        <w:rPr>
          <w:sz w:val="24"/>
          <w:szCs w:val="24"/>
        </w:rPr>
      </w:pP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ind w:left="140" w:right="120"/>
        <w:rPr>
          <w:sz w:val="24"/>
          <w:szCs w:val="24"/>
        </w:rPr>
      </w:pP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7E3D8F" w:rsidRDefault="00572776">
      <w:pPr>
        <w:pStyle w:val="Heading2"/>
        <w:spacing w:line="240" w:lineRule="auto"/>
        <w:ind w:firstLine="140"/>
      </w:pPr>
      <w:r>
        <w:lastRenderedPageBreak/>
        <w:t>Grade Point Requirement</w:t>
      </w:r>
    </w:p>
    <w:p w:rsidR="007E3D8F" w:rsidRDefault="00572776">
      <w:pPr>
        <w:pBdr>
          <w:top w:val="nil"/>
          <w:left w:val="nil"/>
          <w:bottom w:val="nil"/>
          <w:right w:val="nil"/>
          <w:between w:val="nil"/>
        </w:pBdr>
        <w:spacing w:before="1"/>
        <w:ind w:lef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minimum </w:t>
      </w:r>
      <w:r>
        <w:rPr>
          <w:b/>
          <w:color w:val="000000"/>
          <w:sz w:val="24"/>
          <w:szCs w:val="24"/>
        </w:rPr>
        <w:t xml:space="preserve">cumulative </w:t>
      </w:r>
      <w:r>
        <w:rPr>
          <w:color w:val="000000"/>
          <w:sz w:val="24"/>
          <w:szCs w:val="24"/>
        </w:rPr>
        <w:t>GPA of 3.20 on a 4.00 scale is required. No exceptions. (</w:t>
      </w:r>
      <w:r>
        <w:rPr>
          <w:b/>
          <w:color w:val="000000"/>
          <w:sz w:val="24"/>
          <w:szCs w:val="24"/>
        </w:rPr>
        <w:t>This is a highly competitive program and no student from Lyon has ever been accepted with less than a 3.50 GPA.</w:t>
      </w:r>
      <w:r>
        <w:rPr>
          <w:color w:val="000000"/>
          <w:sz w:val="24"/>
          <w:szCs w:val="24"/>
        </w:rPr>
        <w:t>)</w:t>
      </w:r>
    </w:p>
    <w:p w:rsidR="007E3D8F" w:rsidRDefault="007E3D8F">
      <w:pPr>
        <w:pBdr>
          <w:top w:val="nil"/>
          <w:left w:val="nil"/>
          <w:bottom w:val="nil"/>
          <w:right w:val="nil"/>
          <w:between w:val="nil"/>
        </w:pBdr>
        <w:spacing w:before="1"/>
        <w:ind w:left="140"/>
        <w:rPr>
          <w:color w:val="000000"/>
          <w:sz w:val="24"/>
          <w:szCs w:val="24"/>
        </w:rPr>
      </w:pPr>
    </w:p>
    <w:p w:rsidR="007E3D8F" w:rsidRDefault="00572776">
      <w:pPr>
        <w:pStyle w:val="Heading2"/>
        <w:ind w:firstLine="140"/>
      </w:pPr>
      <w:r>
        <w:t>Application Process</w:t>
      </w:r>
    </w:p>
    <w:p w:rsidR="007E3D8F" w:rsidRDefault="00572776">
      <w:pPr>
        <w:pBdr>
          <w:top w:val="nil"/>
          <w:left w:val="nil"/>
          <w:bottom w:val="nil"/>
          <w:right w:val="nil"/>
          <w:between w:val="nil"/>
        </w:pBdr>
        <w:ind w:left="140" w:right="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must be nominated by their home institution and submit </w:t>
      </w:r>
      <w:r>
        <w:rPr>
          <w:b/>
          <w:color w:val="000000"/>
          <w:sz w:val="24"/>
          <w:szCs w:val="24"/>
        </w:rPr>
        <w:t xml:space="preserve">all </w:t>
      </w:r>
      <w:r>
        <w:rPr>
          <w:color w:val="000000"/>
          <w:sz w:val="24"/>
          <w:szCs w:val="24"/>
        </w:rPr>
        <w:t>application materials by February 1, including:</w:t>
      </w:r>
    </w:p>
    <w:p w:rsidR="007E3D8F" w:rsidRDefault="00572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line="305" w:lineRule="auto"/>
        <w:ind w:left="680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Completed application &amp; nomination forms.</w:t>
      </w:r>
    </w:p>
    <w:p w:rsidR="007E3D8F" w:rsidRDefault="00572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spacing w:before="1" w:line="305" w:lineRule="auto"/>
        <w:ind w:left="680" w:hanging="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official academic transcript through the fall semester of the current academic year.</w:t>
      </w:r>
    </w:p>
    <w:p w:rsidR="007E3D8F" w:rsidRDefault="00572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"/>
        </w:tabs>
        <w:ind w:right="334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500-word essay describing the applicant’s educational objectives while studying in Northern Ireland. (Students should determ</w:t>
      </w:r>
      <w:r>
        <w:rPr>
          <w:color w:val="000000"/>
          <w:sz w:val="24"/>
          <w:szCs w:val="24"/>
        </w:rPr>
        <w:t>ine in advance that their intended course of study is offered at the institutions they select.)</w:t>
      </w:r>
    </w:p>
    <w:p w:rsidR="007E3D8F" w:rsidRDefault="00572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right="6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 letters of recommendation – one from the student’s academic adviser and one from another faculty member or administrator at the applicant’s home institution.</w:t>
      </w:r>
    </w:p>
    <w:p w:rsidR="007E3D8F" w:rsidRDefault="007E3D8F">
      <w:pPr>
        <w:tabs>
          <w:tab w:val="left" w:pos="860"/>
          <w:tab w:val="left" w:pos="861"/>
        </w:tabs>
        <w:ind w:right="620"/>
        <w:rPr>
          <w:b/>
          <w:sz w:val="24"/>
          <w:szCs w:val="24"/>
        </w:rPr>
      </w:pPr>
    </w:p>
    <w:p w:rsidR="007E3D8F" w:rsidRDefault="0057277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Student Housing  </w:t>
      </w:r>
    </w:p>
    <w:p w:rsidR="007E3D8F" w:rsidRDefault="00572776">
      <w:pPr>
        <w:tabs>
          <w:tab w:val="left" w:pos="860"/>
          <w:tab w:val="left" w:pos="861"/>
        </w:tabs>
        <w:ind w:right="620"/>
        <w:rPr>
          <w:color w:val="0000FF"/>
          <w:u w:val="single"/>
        </w:rPr>
      </w:pPr>
      <w:r>
        <w:rPr>
          <w:sz w:val="24"/>
          <w:szCs w:val="24"/>
        </w:rPr>
        <w:t>Each of the partner universities has an accommodation office which offers i</w:t>
      </w:r>
      <w:r>
        <w:rPr>
          <w:sz w:val="24"/>
          <w:szCs w:val="24"/>
        </w:rPr>
        <w:t>nformation on university and off-campus housing options. In general, university housing is cheaper than off-campus. See the document titled “Queens University Housing Rates” to see prices for various accommodation options.</w:t>
      </w:r>
    </w:p>
    <w:p w:rsidR="007E3D8F" w:rsidRDefault="007E3D8F">
      <w:pPr>
        <w:tabs>
          <w:tab w:val="left" w:pos="860"/>
          <w:tab w:val="left" w:pos="861"/>
        </w:tabs>
        <w:ind w:right="620"/>
      </w:pPr>
    </w:p>
    <w:p w:rsidR="007E3D8F" w:rsidRDefault="00572776">
      <w:pPr>
        <w:tabs>
          <w:tab w:val="left" w:pos="860"/>
          <w:tab w:val="left" w:pos="861"/>
        </w:tabs>
        <w:ind w:right="620"/>
      </w:pPr>
      <w:r>
        <w:t>The following are links to housing information for the partner universities:</w:t>
      </w:r>
    </w:p>
    <w:p w:rsidR="007E3D8F" w:rsidRDefault="00572776">
      <w:pPr>
        <w:tabs>
          <w:tab w:val="left" w:pos="860"/>
          <w:tab w:val="left" w:pos="861"/>
        </w:tabs>
        <w:ind w:right="620"/>
      </w:pPr>
      <w:r>
        <w:t xml:space="preserve">Ulster University - </w:t>
      </w:r>
      <w:hyperlink r:id="rId18">
        <w:r>
          <w:rPr>
            <w:color w:val="0000FF"/>
            <w:u w:val="single"/>
          </w:rPr>
          <w:t>https://www.ulster.ac.uk/accommodation</w:t>
        </w:r>
      </w:hyperlink>
    </w:p>
    <w:p w:rsidR="007E3D8F" w:rsidRDefault="00572776">
      <w:pPr>
        <w:tabs>
          <w:tab w:val="left" w:pos="860"/>
          <w:tab w:val="left" w:pos="861"/>
        </w:tabs>
        <w:ind w:right="620"/>
        <w:rPr>
          <w:sz w:val="24"/>
          <w:szCs w:val="24"/>
        </w:rPr>
      </w:pPr>
      <w:bookmarkStart w:id="3" w:name="_heading=h.3znysh7" w:colFirst="0" w:colLast="0"/>
      <w:bookmarkEnd w:id="3"/>
      <w:r>
        <w:rPr>
          <w:sz w:val="24"/>
          <w:szCs w:val="24"/>
        </w:rPr>
        <w:t xml:space="preserve">Queen’s University - </w:t>
      </w:r>
      <w:hyperlink r:id="rId19">
        <w:r>
          <w:rPr>
            <w:color w:val="0000FF"/>
            <w:u w:val="single"/>
          </w:rPr>
          <w:t>https://www.qub.ac.uk/accommodation/student-accommodation/student-accommodation-belfast/</w:t>
        </w:r>
      </w:hyperlink>
      <w:r>
        <w:t xml:space="preserve">  and  </w:t>
      </w:r>
      <w:hyperlink r:id="rId20">
        <w:r>
          <w:rPr>
            <w:color w:val="0000FF"/>
            <w:u w:val="single"/>
          </w:rPr>
          <w:t>https://qubsu.org/AdviceSU/Accomm</w:t>
        </w:r>
        <w:r>
          <w:rPr>
            <w:color w:val="0000FF"/>
            <w:u w:val="single"/>
          </w:rPr>
          <w:t>odation/</w:t>
        </w:r>
      </w:hyperlink>
    </w:p>
    <w:p w:rsidR="007E3D8F" w:rsidRDefault="00572776">
      <w:pPr>
        <w:tabs>
          <w:tab w:val="left" w:pos="860"/>
          <w:tab w:val="left" w:pos="861"/>
        </w:tabs>
        <w:ind w:right="620"/>
        <w:rPr>
          <w:sz w:val="24"/>
          <w:szCs w:val="24"/>
        </w:rPr>
      </w:pPr>
      <w:proofErr w:type="spellStart"/>
      <w:r>
        <w:rPr>
          <w:sz w:val="24"/>
          <w:szCs w:val="24"/>
        </w:rPr>
        <w:t>Stranmillis</w:t>
      </w:r>
      <w:proofErr w:type="spellEnd"/>
      <w:r>
        <w:rPr>
          <w:sz w:val="24"/>
          <w:szCs w:val="24"/>
        </w:rPr>
        <w:t xml:space="preserve"> University - </w:t>
      </w:r>
      <w:hyperlink r:id="rId21">
        <w:r>
          <w:rPr>
            <w:color w:val="0000FF"/>
            <w:u w:val="single"/>
          </w:rPr>
          <w:t>https://www.stran.ac.uk/accommodation/</w:t>
        </w:r>
      </w:hyperlink>
    </w:p>
    <w:p w:rsidR="007E3D8F" w:rsidRDefault="00572776">
      <w:pPr>
        <w:tabs>
          <w:tab w:val="left" w:pos="860"/>
          <w:tab w:val="left" w:pos="861"/>
        </w:tabs>
        <w:ind w:right="620"/>
        <w:rPr>
          <w:sz w:val="24"/>
          <w:szCs w:val="24"/>
        </w:rPr>
      </w:pPr>
      <w:r>
        <w:rPr>
          <w:sz w:val="24"/>
          <w:szCs w:val="24"/>
        </w:rPr>
        <w:t>Belfast Metropolitan College - Internationalstudents'accommodationGuideofBMC.pdf</w:t>
      </w:r>
    </w:p>
    <w:p w:rsidR="007E3D8F" w:rsidRDefault="00572776">
      <w:pPr>
        <w:tabs>
          <w:tab w:val="left" w:pos="860"/>
          <w:tab w:val="left" w:pos="861"/>
        </w:tabs>
        <w:ind w:right="620"/>
      </w:pPr>
      <w:r>
        <w:rPr>
          <w:sz w:val="24"/>
          <w:szCs w:val="24"/>
        </w:rPr>
        <w:t xml:space="preserve">St. Mary’s University College - </w:t>
      </w:r>
      <w:hyperlink r:id="rId22">
        <w:r>
          <w:rPr>
            <w:color w:val="0000FF"/>
            <w:u w:val="single"/>
          </w:rPr>
          <w:t>https://www.qub.ac.uk/accommodation/student-accommodation/student-accommodation-belfast/</w:t>
        </w:r>
      </w:hyperlink>
      <w:r>
        <w:t xml:space="preserve">  and  </w:t>
      </w:r>
      <w:hyperlink r:id="rId23">
        <w:r>
          <w:rPr>
            <w:color w:val="0000FF"/>
            <w:u w:val="single"/>
          </w:rPr>
          <w:t>http</w:t>
        </w:r>
        <w:r>
          <w:rPr>
            <w:color w:val="0000FF"/>
            <w:u w:val="single"/>
          </w:rPr>
          <w:t>s://qubsu.org/AdviceSU/Accommodation/</w:t>
        </w:r>
      </w:hyperlink>
    </w:p>
    <w:p w:rsidR="007E3D8F" w:rsidRDefault="007E3D8F">
      <w:pPr>
        <w:tabs>
          <w:tab w:val="left" w:pos="860"/>
          <w:tab w:val="left" w:pos="861"/>
        </w:tabs>
        <w:ind w:right="620"/>
        <w:rPr>
          <w:sz w:val="24"/>
          <w:szCs w:val="24"/>
        </w:rPr>
      </w:pPr>
    </w:p>
    <w:p w:rsidR="007E3D8F" w:rsidRDefault="00572776">
      <w:pPr>
        <w:tabs>
          <w:tab w:val="left" w:pos="860"/>
          <w:tab w:val="left" w:pos="861"/>
        </w:tabs>
        <w:ind w:right="620"/>
        <w:rPr>
          <w:rFonts w:ascii="Helvetica Neue" w:eastAsia="Helvetica Neue" w:hAnsi="Helvetica Neue" w:cs="Helvetica Neue"/>
          <w:color w:val="373737"/>
          <w:sz w:val="23"/>
          <w:szCs w:val="23"/>
          <w:highlight w:val="white"/>
        </w:rPr>
      </w:pPr>
      <w:r>
        <w:rPr>
          <w:sz w:val="24"/>
          <w:szCs w:val="24"/>
        </w:rPr>
        <w:t xml:space="preserve">Additional information can be </w:t>
      </w:r>
      <w:proofErr w:type="spellStart"/>
      <w:r>
        <w:rPr>
          <w:sz w:val="24"/>
          <w:szCs w:val="24"/>
        </w:rPr>
        <w:t>fund</w:t>
      </w:r>
      <w:proofErr w:type="spellEnd"/>
      <w:r>
        <w:rPr>
          <w:sz w:val="24"/>
          <w:szCs w:val="24"/>
        </w:rPr>
        <w:t xml:space="preserve"> at the Irish American Scholars website at </w:t>
      </w:r>
      <w:hyperlink r:id="rId24">
        <w:r>
          <w:rPr>
            <w:color w:val="0000FF"/>
            <w:u w:val="single"/>
          </w:rPr>
          <w:t>https://irishamericanscholars.com/living-and-s</w:t>
        </w:r>
        <w:r>
          <w:rPr>
            <w:color w:val="0000FF"/>
            <w:u w:val="single"/>
          </w:rPr>
          <w:t>tudying-in-northern-ireland/</w:t>
        </w:r>
      </w:hyperlink>
      <w:r>
        <w:t xml:space="preserve"> and specific questions can be directed to Ms. Janna Wofford at </w:t>
      </w:r>
      <w:hyperlink r:id="rId25">
        <w:r>
          <w:rPr>
            <w:rFonts w:ascii="Helvetica Neue" w:eastAsia="Helvetica Neue" w:hAnsi="Helvetica Neue" w:cs="Helvetica Neue"/>
            <w:color w:val="0000FF"/>
            <w:sz w:val="23"/>
            <w:szCs w:val="23"/>
            <w:highlight w:val="white"/>
            <w:u w:val="single"/>
          </w:rPr>
          <w:t>janna.wofford@presbyteriancolleges.org</w:t>
        </w:r>
      </w:hyperlink>
      <w:r>
        <w:rPr>
          <w:rFonts w:ascii="Helvetica Neue" w:eastAsia="Helvetica Neue" w:hAnsi="Helvetica Neue" w:cs="Helvetica Neue"/>
          <w:color w:val="373737"/>
          <w:sz w:val="23"/>
          <w:szCs w:val="23"/>
          <w:highlight w:val="white"/>
        </w:rPr>
        <w:t xml:space="preserve"> </w:t>
      </w:r>
    </w:p>
    <w:p w:rsidR="007E3D8F" w:rsidRDefault="007E3D8F">
      <w:pPr>
        <w:tabs>
          <w:tab w:val="left" w:pos="860"/>
          <w:tab w:val="left" w:pos="861"/>
        </w:tabs>
        <w:ind w:right="620"/>
        <w:rPr>
          <w:sz w:val="24"/>
          <w:szCs w:val="24"/>
        </w:rPr>
      </w:pPr>
    </w:p>
    <w:p w:rsidR="007E3D8F" w:rsidRDefault="00572776">
      <w:pPr>
        <w:tabs>
          <w:tab w:val="left" w:pos="860"/>
          <w:tab w:val="left" w:pos="861"/>
        </w:tabs>
        <w:ind w:right="620"/>
        <w:rPr>
          <w:sz w:val="24"/>
          <w:szCs w:val="24"/>
        </w:rPr>
      </w:pPr>
      <w:r>
        <w:rPr>
          <w:sz w:val="24"/>
          <w:szCs w:val="24"/>
        </w:rPr>
        <w:t>If the housing option you choose offers a self-catering op</w:t>
      </w:r>
      <w:r>
        <w:rPr>
          <w:sz w:val="24"/>
          <w:szCs w:val="24"/>
        </w:rPr>
        <w:t xml:space="preserve">tion, you can sign up for a meal. If you choose a homestay, you can also pay to have your meals included. If you select an apartment or shared apartment, you shop and prepare your own meals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cost of living guide below will give you some idea of food pri</w:t>
      </w:r>
      <w:r>
        <w:rPr>
          <w:sz w:val="24"/>
          <w:szCs w:val="24"/>
        </w:rPr>
        <w:t xml:space="preserve">ces in Belfast as of May 2020: </w:t>
      </w:r>
    </w:p>
    <w:tbl>
      <w:tblPr>
        <w:tblStyle w:val="a"/>
        <w:tblW w:w="8786" w:type="dxa"/>
        <w:tblLayout w:type="fixed"/>
        <w:tblLook w:val="0400" w:firstRow="0" w:lastRow="0" w:firstColumn="0" w:lastColumn="0" w:noHBand="0" w:noVBand="1"/>
      </w:tblPr>
      <w:tblGrid>
        <w:gridCol w:w="4989"/>
        <w:gridCol w:w="1457"/>
        <w:gridCol w:w="2340"/>
      </w:tblGrid>
      <w:tr w:rsidR="007E3D8F">
        <w:trPr>
          <w:gridAfter w:val="2"/>
          <w:wAfter w:w="3797" w:type="dxa"/>
          <w:trHeight w:val="945"/>
        </w:trPr>
        <w:tc>
          <w:tcPr>
            <w:tcW w:w="4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E3D8F" w:rsidRDefault="007E3D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E3D8F" w:rsidRDefault="007E3D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E3D8F" w:rsidRDefault="007E3D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E3D8F" w:rsidRDefault="007E3D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72776" w:rsidRDefault="0057277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4" w:name="_GoBack"/>
            <w:bookmarkEnd w:id="4"/>
          </w:p>
          <w:p w:rsidR="007E3D8F" w:rsidRDefault="007E3D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E3D8F" w:rsidRDefault="007E3D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E3D8F" w:rsidRDefault="007E3D8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E3D8F" w:rsidRDefault="007E3D8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E3D8F" w:rsidRDefault="00572776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lastRenderedPageBreak/>
              <w:t>Cost of Living/Belfast</w:t>
            </w:r>
          </w:p>
          <w:p w:rsidR="007E3D8F" w:rsidRDefault="007E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D8F">
        <w:tc>
          <w:tcPr>
            <w:tcW w:w="4989" w:type="dxa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lastRenderedPageBreak/>
              <w:t>Restaurants</w:t>
            </w:r>
          </w:p>
        </w:tc>
        <w:tc>
          <w:tcPr>
            <w:tcW w:w="1457" w:type="dxa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980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</w:tr>
      <w:tr w:rsidR="007E3D8F">
        <w:tc>
          <w:tcPr>
            <w:tcW w:w="498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Meal, Inexpensive Restaurant</w:t>
            </w:r>
          </w:p>
        </w:tc>
        <w:tc>
          <w:tcPr>
            <w:tcW w:w="145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$14.64 </w:t>
            </w:r>
          </w:p>
        </w:tc>
        <w:tc>
          <w:tcPr>
            <w:tcW w:w="234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c>
          <w:tcPr>
            <w:tcW w:w="498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Meal for 2 People, Mid-range Restaurant, Three-course</w:t>
            </w:r>
          </w:p>
        </w:tc>
        <w:tc>
          <w:tcPr>
            <w:tcW w:w="145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51.86 </w:t>
            </w:r>
          </w:p>
        </w:tc>
        <w:tc>
          <w:tcPr>
            <w:tcW w:w="2340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c>
          <w:tcPr>
            <w:tcW w:w="498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McMeal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McDonalds (or Equivalent Combo Meal)</w:t>
            </w:r>
          </w:p>
        </w:tc>
        <w:tc>
          <w:tcPr>
            <w:tcW w:w="145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7.32 </w:t>
            </w:r>
          </w:p>
        </w:tc>
        <w:tc>
          <w:tcPr>
            <w:tcW w:w="234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c>
          <w:tcPr>
            <w:tcW w:w="498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Domestic Beer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pint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draught)</w:t>
            </w:r>
          </w:p>
        </w:tc>
        <w:tc>
          <w:tcPr>
            <w:tcW w:w="145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5.12 </w:t>
            </w:r>
          </w:p>
        </w:tc>
        <w:tc>
          <w:tcPr>
            <w:tcW w:w="2340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c>
          <w:tcPr>
            <w:tcW w:w="498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Imported Beer (12 oz small bottle)</w:t>
            </w:r>
          </w:p>
        </w:tc>
        <w:tc>
          <w:tcPr>
            <w:tcW w:w="145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4.88 </w:t>
            </w:r>
          </w:p>
        </w:tc>
        <w:tc>
          <w:tcPr>
            <w:tcW w:w="234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c>
          <w:tcPr>
            <w:tcW w:w="498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Cappuccino (regular)</w:t>
            </w:r>
          </w:p>
        </w:tc>
        <w:tc>
          <w:tcPr>
            <w:tcW w:w="145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3.25 </w:t>
            </w:r>
          </w:p>
        </w:tc>
        <w:tc>
          <w:tcPr>
            <w:tcW w:w="2340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c>
          <w:tcPr>
            <w:tcW w:w="498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Coke/Pepsi (12 oz small bottle)</w:t>
            </w:r>
          </w:p>
        </w:tc>
        <w:tc>
          <w:tcPr>
            <w:tcW w:w="145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1.83 </w:t>
            </w:r>
          </w:p>
        </w:tc>
        <w:tc>
          <w:tcPr>
            <w:tcW w:w="234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c>
          <w:tcPr>
            <w:tcW w:w="498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Water (12 oz small bottle)</w:t>
            </w:r>
          </w:p>
        </w:tc>
        <w:tc>
          <w:tcPr>
            <w:tcW w:w="145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2340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c>
          <w:tcPr>
            <w:tcW w:w="4989" w:type="dxa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Markets</w:t>
            </w:r>
          </w:p>
        </w:tc>
        <w:tc>
          <w:tcPr>
            <w:tcW w:w="1457" w:type="dxa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c>
          <w:tcPr>
            <w:tcW w:w="498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Milk (regular), (1 gallon)</w:t>
            </w:r>
          </w:p>
        </w:tc>
        <w:tc>
          <w:tcPr>
            <w:tcW w:w="145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234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Loaf of Fresh White Bread (1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1.12 </w:t>
            </w:r>
          </w:p>
        </w:tc>
        <w:tc>
          <w:tcPr>
            <w:tcW w:w="2340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Rice (white), (1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0.49 </w:t>
            </w:r>
          </w:p>
        </w:tc>
        <w:tc>
          <w:tcPr>
            <w:tcW w:w="234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Eggs (regular) (12)</w:t>
            </w:r>
          </w:p>
        </w:tc>
        <w:tc>
          <w:tcPr>
            <w:tcW w:w="145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2.17 </w:t>
            </w:r>
          </w:p>
        </w:tc>
        <w:tc>
          <w:tcPr>
            <w:tcW w:w="2340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Local Cheese (1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3.65 </w:t>
            </w:r>
          </w:p>
        </w:tc>
        <w:tc>
          <w:tcPr>
            <w:tcW w:w="234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Chicken Fillets (1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2.95 </w:t>
            </w:r>
          </w:p>
        </w:tc>
        <w:tc>
          <w:tcPr>
            <w:tcW w:w="2340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Beef Round (1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(or Equivalent Back Leg Red Meat)</w:t>
            </w:r>
          </w:p>
        </w:tc>
        <w:tc>
          <w:tcPr>
            <w:tcW w:w="145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3.72 </w:t>
            </w:r>
          </w:p>
        </w:tc>
        <w:tc>
          <w:tcPr>
            <w:tcW w:w="234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Apples (1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0.98 </w:t>
            </w:r>
          </w:p>
        </w:tc>
        <w:tc>
          <w:tcPr>
            <w:tcW w:w="2340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Banana (1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0.47 </w:t>
            </w:r>
          </w:p>
        </w:tc>
        <w:tc>
          <w:tcPr>
            <w:tcW w:w="234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Oranges (1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1.14 </w:t>
            </w:r>
          </w:p>
        </w:tc>
        <w:tc>
          <w:tcPr>
            <w:tcW w:w="2340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Tomato (1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0.82 </w:t>
            </w:r>
          </w:p>
        </w:tc>
        <w:tc>
          <w:tcPr>
            <w:tcW w:w="234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Potato (1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2340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Onion (1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0.68 </w:t>
            </w:r>
          </w:p>
        </w:tc>
        <w:tc>
          <w:tcPr>
            <w:tcW w:w="234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Lettuce (1 head)</w:t>
            </w:r>
          </w:p>
        </w:tc>
        <w:tc>
          <w:tcPr>
            <w:tcW w:w="145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0.98 </w:t>
            </w:r>
          </w:p>
        </w:tc>
        <w:tc>
          <w:tcPr>
            <w:tcW w:w="2340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Water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1.5 liter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bottle)</w:t>
            </w:r>
          </w:p>
        </w:tc>
        <w:tc>
          <w:tcPr>
            <w:tcW w:w="145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1.13 </w:t>
            </w:r>
          </w:p>
        </w:tc>
        <w:tc>
          <w:tcPr>
            <w:tcW w:w="234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c>
          <w:tcPr>
            <w:tcW w:w="498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Bottle of Wine (Mid-Range)</w:t>
            </w:r>
          </w:p>
        </w:tc>
        <w:tc>
          <w:tcPr>
            <w:tcW w:w="145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9.76 </w:t>
            </w:r>
          </w:p>
        </w:tc>
        <w:tc>
          <w:tcPr>
            <w:tcW w:w="2340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3D8F">
        <w:tc>
          <w:tcPr>
            <w:tcW w:w="498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Domestic Beer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0.5 liter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bottle)</w:t>
            </w:r>
          </w:p>
        </w:tc>
        <w:tc>
          <w:tcPr>
            <w:tcW w:w="145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2.26 </w:t>
            </w:r>
          </w:p>
        </w:tc>
        <w:tc>
          <w:tcPr>
            <w:tcW w:w="234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3D8F">
        <w:tc>
          <w:tcPr>
            <w:tcW w:w="498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Imported Beer (12 oz small bottle)</w:t>
            </w:r>
          </w:p>
        </w:tc>
        <w:tc>
          <w:tcPr>
            <w:tcW w:w="145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2.51 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3D8F" w:rsidRDefault="007E3D8F"/>
    <w:tbl>
      <w:tblPr>
        <w:tblStyle w:val="a0"/>
        <w:tblW w:w="9639" w:type="dxa"/>
        <w:tblLayout w:type="fixed"/>
        <w:tblLook w:val="0400" w:firstRow="0" w:lastRow="0" w:firstColumn="0" w:lastColumn="0" w:noHBand="0" w:noVBand="1"/>
      </w:tblPr>
      <w:tblGrid>
        <w:gridCol w:w="3948"/>
        <w:gridCol w:w="1053"/>
        <w:gridCol w:w="30"/>
        <w:gridCol w:w="4527"/>
        <w:gridCol w:w="33"/>
        <w:gridCol w:w="48"/>
      </w:tblGrid>
      <w:tr w:rsidR="007E3D8F">
        <w:trPr>
          <w:gridAfter w:val="1"/>
          <w:wAfter w:w="48" w:type="dxa"/>
        </w:trPr>
        <w:tc>
          <w:tcPr>
            <w:tcW w:w="3949" w:type="dxa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Transportation</w:t>
            </w:r>
          </w:p>
        </w:tc>
        <w:tc>
          <w:tcPr>
            <w:tcW w:w="1053" w:type="dxa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rPr>
          <w:gridAfter w:val="1"/>
          <w:wAfter w:w="48" w:type="dxa"/>
        </w:trPr>
        <w:tc>
          <w:tcPr>
            <w:tcW w:w="394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One-way Ticket (Local Transport)</w:t>
            </w:r>
          </w:p>
        </w:tc>
        <w:tc>
          <w:tcPr>
            <w:tcW w:w="1053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$2.56 </w:t>
            </w:r>
          </w:p>
        </w:tc>
        <w:tc>
          <w:tcPr>
            <w:tcW w:w="4590" w:type="dxa"/>
            <w:gridSpan w:val="3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3D8F">
        <w:trPr>
          <w:gridAfter w:val="1"/>
          <w:wAfter w:w="48" w:type="dxa"/>
        </w:trPr>
        <w:tc>
          <w:tcPr>
            <w:tcW w:w="394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Monthly Pass (Regular Price)</w:t>
            </w:r>
          </w:p>
        </w:tc>
        <w:tc>
          <w:tcPr>
            <w:tcW w:w="1053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$70.77 </w:t>
            </w:r>
          </w:p>
        </w:tc>
        <w:tc>
          <w:tcPr>
            <w:tcW w:w="4590" w:type="dxa"/>
            <w:gridSpan w:val="3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rPr>
          <w:gridAfter w:val="1"/>
          <w:wAfter w:w="48" w:type="dxa"/>
        </w:trPr>
        <w:tc>
          <w:tcPr>
            <w:tcW w:w="3949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Taxi Start (Normal Tariff)</w:t>
            </w:r>
          </w:p>
        </w:tc>
        <w:tc>
          <w:tcPr>
            <w:tcW w:w="1053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$3.66 </w:t>
            </w:r>
          </w:p>
        </w:tc>
        <w:tc>
          <w:tcPr>
            <w:tcW w:w="4590" w:type="dxa"/>
            <w:gridSpan w:val="3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rPr>
          <w:gridAfter w:val="1"/>
          <w:wAfter w:w="48" w:type="dxa"/>
          <w:trHeight w:val="269"/>
        </w:trPr>
        <w:tc>
          <w:tcPr>
            <w:tcW w:w="394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Taxi 1 mile (Normal Tariff)</w:t>
            </w:r>
          </w:p>
        </w:tc>
        <w:tc>
          <w:tcPr>
            <w:tcW w:w="1053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$1.96 </w:t>
            </w:r>
          </w:p>
        </w:tc>
        <w:tc>
          <w:tcPr>
            <w:tcW w:w="45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rPr>
          <w:gridAfter w:val="1"/>
          <w:wAfter w:w="48" w:type="dxa"/>
        </w:trPr>
        <w:tc>
          <w:tcPr>
            <w:tcW w:w="3949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E3D8F">
        <w:trPr>
          <w:gridAfter w:val="3"/>
          <w:wAfter w:w="4608" w:type="dxa"/>
        </w:trPr>
        <w:tc>
          <w:tcPr>
            <w:tcW w:w="50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8F" w:rsidRDefault="007E3D8F"/>
          <w:p w:rsidR="007E3D8F" w:rsidRDefault="007E3D8F"/>
        </w:tc>
      </w:tr>
      <w:tr w:rsidR="007E3D8F">
        <w:tc>
          <w:tcPr>
            <w:tcW w:w="5032" w:type="dxa"/>
            <w:gridSpan w:val="3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lastRenderedPageBreak/>
              <w:t>Utilities (Monthly)</w:t>
            </w:r>
          </w:p>
        </w:tc>
        <w:tc>
          <w:tcPr>
            <w:tcW w:w="4527" w:type="dxa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1" w:type="dxa"/>
            <w:gridSpan w:val="2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c>
          <w:tcPr>
            <w:tcW w:w="5032" w:type="dxa"/>
            <w:gridSpan w:val="3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Basic (Electricity, Heating, Cooling, Water, Garbage) for 915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sq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ft Apartment</w:t>
            </w:r>
          </w:p>
        </w:tc>
        <w:tc>
          <w:tcPr>
            <w:tcW w:w="452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$91.74</w:t>
            </w:r>
          </w:p>
        </w:tc>
        <w:tc>
          <w:tcPr>
            <w:tcW w:w="81" w:type="dxa"/>
            <w:gridSpan w:val="2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3D8F">
        <w:tc>
          <w:tcPr>
            <w:tcW w:w="5032" w:type="dxa"/>
            <w:gridSpan w:val="3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min. of Prepaid Mobile Tariff Local (No Discounts or Plans)</w:t>
            </w:r>
          </w:p>
        </w:tc>
        <w:tc>
          <w:tcPr>
            <w:tcW w:w="4527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$0.09 </w:t>
            </w:r>
          </w:p>
        </w:tc>
        <w:tc>
          <w:tcPr>
            <w:tcW w:w="81" w:type="dxa"/>
            <w:gridSpan w:val="2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3D8F">
        <w:tc>
          <w:tcPr>
            <w:tcW w:w="5032" w:type="dxa"/>
            <w:gridSpan w:val="3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Internet (60 Mbps or More, Unlimited Data, Cable/ADSL)</w:t>
            </w:r>
          </w:p>
        </w:tc>
        <w:tc>
          <w:tcPr>
            <w:tcW w:w="452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$33.42 </w:t>
            </w:r>
          </w:p>
        </w:tc>
        <w:tc>
          <w:tcPr>
            <w:tcW w:w="81" w:type="dxa"/>
            <w:gridSpan w:val="2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3D8F">
        <w:tc>
          <w:tcPr>
            <w:tcW w:w="5032" w:type="dxa"/>
            <w:gridSpan w:val="3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Sports and Leisure</w:t>
            </w:r>
          </w:p>
        </w:tc>
        <w:tc>
          <w:tcPr>
            <w:tcW w:w="4527" w:type="dxa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1" w:type="dxa"/>
            <w:gridSpan w:val="2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c>
          <w:tcPr>
            <w:tcW w:w="5032" w:type="dxa"/>
            <w:gridSpan w:val="3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Fitness Club, Monthly Fee for 1 Adult</w:t>
            </w:r>
          </w:p>
        </w:tc>
        <w:tc>
          <w:tcPr>
            <w:tcW w:w="4527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$30.97 </w:t>
            </w:r>
          </w:p>
        </w:tc>
        <w:tc>
          <w:tcPr>
            <w:tcW w:w="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</w:tbl>
    <w:p w:rsidR="007E3D8F" w:rsidRDefault="007E3D8F">
      <w:pPr>
        <w:rPr>
          <w:rFonts w:ascii="Arial" w:eastAsia="Arial" w:hAnsi="Arial" w:cs="Arial"/>
          <w:color w:val="000000"/>
          <w:sz w:val="27"/>
          <w:szCs w:val="27"/>
        </w:rPr>
      </w:pPr>
    </w:p>
    <w:tbl>
      <w:tblPr>
        <w:tblStyle w:val="a1"/>
        <w:tblW w:w="9540" w:type="dxa"/>
        <w:tblLayout w:type="fixed"/>
        <w:tblLook w:val="0400" w:firstRow="0" w:lastRow="0" w:firstColumn="0" w:lastColumn="0" w:noHBand="0" w:noVBand="1"/>
      </w:tblPr>
      <w:tblGrid>
        <w:gridCol w:w="5058"/>
        <w:gridCol w:w="4212"/>
        <w:gridCol w:w="270"/>
      </w:tblGrid>
      <w:tr w:rsidR="007E3D8F">
        <w:tc>
          <w:tcPr>
            <w:tcW w:w="5058" w:type="dxa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Rent Per Month</w:t>
            </w:r>
          </w:p>
        </w:tc>
        <w:tc>
          <w:tcPr>
            <w:tcW w:w="4212" w:type="dxa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70" w:type="dxa"/>
            <w:tcBorders>
              <w:top w:val="single" w:sz="6" w:space="0" w:color="C5DBEC"/>
              <w:left w:val="nil"/>
              <w:bottom w:val="single" w:sz="6" w:space="0" w:color="C5DBEC"/>
              <w:right w:val="nil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c>
          <w:tcPr>
            <w:tcW w:w="5058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Apartment (1 bedroom) in City Centre</w:t>
            </w:r>
          </w:p>
        </w:tc>
        <w:tc>
          <w:tcPr>
            <w:tcW w:w="4212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$768.44 </w:t>
            </w:r>
          </w:p>
        </w:tc>
        <w:tc>
          <w:tcPr>
            <w:tcW w:w="270" w:type="dxa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7E3D8F">
        <w:tc>
          <w:tcPr>
            <w:tcW w:w="5058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Apartment (1 bedroom) Outside of Centre</w:t>
            </w:r>
          </w:p>
        </w:tc>
        <w:tc>
          <w:tcPr>
            <w:tcW w:w="4212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572776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$547.67 </w:t>
            </w:r>
          </w:p>
        </w:tc>
        <w:tc>
          <w:tcPr>
            <w:tcW w:w="270" w:type="dxa"/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7E3D8F" w:rsidRDefault="007E3D8F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</w:tbl>
    <w:p w:rsidR="007E3D8F" w:rsidRDefault="007E3D8F">
      <w:pPr>
        <w:tabs>
          <w:tab w:val="left" w:pos="860"/>
          <w:tab w:val="left" w:pos="861"/>
        </w:tabs>
        <w:ind w:right="620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7E3D8F" w:rsidRDefault="007E3D8F">
      <w:pPr>
        <w:tabs>
          <w:tab w:val="left" w:pos="860"/>
          <w:tab w:val="left" w:pos="861"/>
        </w:tabs>
        <w:ind w:right="620"/>
        <w:rPr>
          <w:i/>
          <w:sz w:val="24"/>
          <w:szCs w:val="24"/>
        </w:rPr>
      </w:pPr>
    </w:p>
    <w:p w:rsidR="007E3D8F" w:rsidRDefault="007E3D8F">
      <w:pPr>
        <w:tabs>
          <w:tab w:val="left" w:pos="860"/>
          <w:tab w:val="left" w:pos="861"/>
        </w:tabs>
        <w:ind w:right="620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7E3D8F" w:rsidRDefault="0057277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5981065" cy="12700"/>
                <wp:effectExtent l="0" t="0" r="0" b="0"/>
                <wp:wrapTopAndBottom distT="0" distB="0"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468" y="3779365"/>
                          <a:ext cx="5981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9" h="120000" extrusionOk="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5981065" cy="12700"/>
                <wp:effectExtent b="0" l="0" r="0" t="0"/>
                <wp:wrapTopAndBottom distB="0" distT="0"/>
                <wp:docPr id="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0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E3D8F" w:rsidRDefault="00572776">
      <w:pPr>
        <w:spacing w:line="263" w:lineRule="auto"/>
        <w:ind w:left="483" w:right="48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More information about the Irish American Scholars Program, as well as the</w:t>
      </w:r>
    </w:p>
    <w:p w:rsidR="007E3D8F" w:rsidRDefault="00572776">
      <w:pPr>
        <w:ind w:left="484" w:right="48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nomination and application forms, can be found on our website:</w:t>
      </w:r>
    </w:p>
    <w:p w:rsidR="007E3D8F" w:rsidRDefault="00572776">
      <w:pPr>
        <w:ind w:left="484" w:right="483"/>
        <w:jc w:val="center"/>
        <w:rPr>
          <w:i/>
          <w:sz w:val="24"/>
          <w:szCs w:val="24"/>
        </w:rPr>
      </w:pPr>
      <w:r>
        <w:rPr>
          <w:color w:val="0000FF"/>
          <w:u w:val="single"/>
        </w:rPr>
        <w:t>www.irishamericanscholars.com</w:t>
      </w:r>
    </w:p>
    <w:sectPr w:rsidR="007E3D8F">
      <w:pgSz w:w="12240" w:h="15840"/>
      <w:pgMar w:top="700" w:right="1300" w:bottom="280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0134C"/>
    <w:multiLevelType w:val="multilevel"/>
    <w:tmpl w:val="EBEED100"/>
    <w:lvl w:ilvl="0">
      <w:start w:val="1"/>
      <w:numFmt w:val="bullet"/>
      <w:lvlText w:val="●"/>
      <w:lvlJc w:val="left"/>
      <w:pPr>
        <w:ind w:left="860" w:hanging="18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180"/>
      </w:pPr>
    </w:lvl>
    <w:lvl w:ilvl="2">
      <w:start w:val="1"/>
      <w:numFmt w:val="bullet"/>
      <w:lvlText w:val="•"/>
      <w:lvlJc w:val="left"/>
      <w:pPr>
        <w:ind w:left="2616" w:hanging="180"/>
      </w:pPr>
    </w:lvl>
    <w:lvl w:ilvl="3">
      <w:start w:val="1"/>
      <w:numFmt w:val="bullet"/>
      <w:lvlText w:val="•"/>
      <w:lvlJc w:val="left"/>
      <w:pPr>
        <w:ind w:left="3494" w:hanging="180"/>
      </w:pPr>
    </w:lvl>
    <w:lvl w:ilvl="4">
      <w:start w:val="1"/>
      <w:numFmt w:val="bullet"/>
      <w:lvlText w:val="•"/>
      <w:lvlJc w:val="left"/>
      <w:pPr>
        <w:ind w:left="4372" w:hanging="180"/>
      </w:pPr>
    </w:lvl>
    <w:lvl w:ilvl="5">
      <w:start w:val="1"/>
      <w:numFmt w:val="bullet"/>
      <w:lvlText w:val="•"/>
      <w:lvlJc w:val="left"/>
      <w:pPr>
        <w:ind w:left="5250" w:hanging="180"/>
      </w:pPr>
    </w:lvl>
    <w:lvl w:ilvl="6">
      <w:start w:val="1"/>
      <w:numFmt w:val="bullet"/>
      <w:lvlText w:val="•"/>
      <w:lvlJc w:val="left"/>
      <w:pPr>
        <w:ind w:left="6128" w:hanging="180"/>
      </w:pPr>
    </w:lvl>
    <w:lvl w:ilvl="7">
      <w:start w:val="1"/>
      <w:numFmt w:val="bullet"/>
      <w:lvlText w:val="•"/>
      <w:lvlJc w:val="left"/>
      <w:pPr>
        <w:ind w:left="7006" w:hanging="180"/>
      </w:pPr>
    </w:lvl>
    <w:lvl w:ilvl="8">
      <w:start w:val="1"/>
      <w:numFmt w:val="bullet"/>
      <w:lvlText w:val="•"/>
      <w:lvlJc w:val="left"/>
      <w:pPr>
        <w:ind w:left="78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8F"/>
    <w:rsid w:val="00572776"/>
    <w:rsid w:val="007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2BA0"/>
  <w15:docId w15:val="{4478AA1A-01B8-4493-BA5D-34406DF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483" w:right="291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line="341" w:lineRule="exact"/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65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AB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stmarys-belfast.ac.uk/" TargetMode="External"/><Relationship Id="rId18" Type="http://schemas.openxmlformats.org/officeDocument/2006/relationships/hyperlink" Target="https://www.ulster.ac.uk/accommodation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www.stran.ac.uk/accommodation/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://www.belfastmet.ac.uk/" TargetMode="External"/><Relationship Id="rId25" Type="http://schemas.openxmlformats.org/officeDocument/2006/relationships/hyperlink" Target="mailto:janna.wofford@presbyteriancollege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an.ac.uk/" TargetMode="External"/><Relationship Id="rId20" Type="http://schemas.openxmlformats.org/officeDocument/2006/relationships/hyperlink" Target="https://qubsu.org/AdviceSU/Accommodation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ulster.ac.uk/" TargetMode="External"/><Relationship Id="rId24" Type="http://schemas.openxmlformats.org/officeDocument/2006/relationships/hyperlink" Target="https://irishamericanscholars.com/living-and-studying-in-northern-irelan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hyperlink" Target="https://qubsu.org/AdviceSU/Accommodat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qub.ac.uk/" TargetMode="External"/><Relationship Id="rId19" Type="http://schemas.openxmlformats.org/officeDocument/2006/relationships/hyperlink" Target="https://www.qub.ac.uk/accommodation/student-accommodation/student-accommodation-belfa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tmarys-belfast.ac.uk/" TargetMode="External"/><Relationship Id="rId22" Type="http://schemas.openxmlformats.org/officeDocument/2006/relationships/hyperlink" Target="https://www.qub.ac.uk/accommodation/student-accommodation/student-accommodation-belfas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wWiaRfgeiOj9EtvKD20rNsv0w==">AMUW2mVbIOEFFIOEcJaeIOrcRBnEGwaByzmfEAGcDnsy5aMqeGrmEY6SwbQxKIINpM2oexmpRL7s+oJZ8VTaSb+b7q3zDIPHKhSydIrkrT0x/qfQwtrufk1i68cneiKNbo/BHANiiaYJbTizrUBY3P9YYibx0X/OgWgwwlJ8wov6UxViISkxaX0=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 College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User</dc:creator>
  <cp:lastModifiedBy>Leinweber, Anna</cp:lastModifiedBy>
  <cp:revision>2</cp:revision>
  <dcterms:created xsi:type="dcterms:W3CDTF">2020-05-20T16:53:00Z</dcterms:created>
  <dcterms:modified xsi:type="dcterms:W3CDTF">2020-07-09T14:42:00Z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2020-05-20T00:00:00Z</vt:filetime>
  </property>
</Properties>
</file>