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23" w:rsidRDefault="00F93123"/>
    <w:p w:rsidR="00F93123" w:rsidRPr="009C52E0" w:rsidRDefault="00D520C9">
      <w:r>
        <w:rPr>
          <w:noProof/>
        </w:rPr>
        <w:drawing>
          <wp:inline distT="0" distB="0" distL="0" distR="0">
            <wp:extent cx="5988283" cy="1514043"/>
            <wp:effectExtent l="0" t="0" r="0" b="0"/>
            <wp:docPr id="1" name="image1.jpg" descr="https://upload.wikimedia.org/wikipedia/commons/thumb/2/28/Panor%C3%A1mica_de_Almer%C3%ADa.jpg/1920px-Panor%C3%A1mica_de_Almer%C3%A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upload.wikimedia.org/wikipedia/commons/thumb/2/28/Panor%C3%A1mica_de_Almer%C3%ADa.jpg/1920px-Panor%C3%A1mica_de_Almer%C3%AD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283" cy="1514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02122"/>
          <w:sz w:val="19"/>
          <w:szCs w:val="19"/>
          <w:highlight w:val="white"/>
        </w:rPr>
        <w:t xml:space="preserve">Panorama of Almeria City                                                                          </w:t>
      </w:r>
      <w:proofErr w:type="gramStart"/>
      <w:r>
        <w:rPr>
          <w:rFonts w:ascii="Arial" w:eastAsia="Arial" w:hAnsi="Arial" w:cs="Arial"/>
          <w:color w:val="202122"/>
          <w:sz w:val="19"/>
          <w:szCs w:val="19"/>
          <w:highlight w:val="white"/>
        </w:rPr>
        <w:t>From</w:t>
      </w:r>
      <w:proofErr w:type="gramEnd"/>
      <w:r>
        <w:rPr>
          <w:rFonts w:ascii="Arial" w:eastAsia="Arial" w:hAnsi="Arial" w:cs="Arial"/>
          <w:color w:val="202122"/>
          <w:sz w:val="19"/>
          <w:szCs w:val="19"/>
          <w:highlight w:val="white"/>
        </w:rPr>
        <w:t xml:space="preserve"> Wikimedia Commons by </w:t>
      </w:r>
      <w:proofErr w:type="spellStart"/>
      <w:r>
        <w:rPr>
          <w:rFonts w:ascii="Arial" w:eastAsia="Arial" w:hAnsi="Arial" w:cs="Arial"/>
          <w:color w:val="202122"/>
          <w:sz w:val="19"/>
          <w:szCs w:val="19"/>
          <w:highlight w:val="white"/>
        </w:rPr>
        <w:t>Elemaki</w:t>
      </w:r>
      <w:proofErr w:type="spellEnd"/>
    </w:p>
    <w:p w:rsidR="00F93123" w:rsidRDefault="00D52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are many reasons to choose the UAL: The UAL´s facilities and equipment are, without doubt, among the most modern in Europe. Highly-skilled teaching staff enjoys cutting-edge technology to teach subjects. Language courses are offered in summer, fall, </w:t>
      </w:r>
      <w:r>
        <w:rPr>
          <w:rFonts w:ascii="Times New Roman" w:eastAsia="Times New Roman" w:hAnsi="Times New Roman" w:cs="Times New Roman"/>
        </w:rPr>
        <w:t>and spring. Programs at Almeria are accessible either through CONAHEC (spring, fall) or ISEP (fall, spring, summer).</w:t>
      </w:r>
    </w:p>
    <w:p w:rsidR="00F93123" w:rsidRDefault="00D52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Life on Campus is as enjoyable due to Almeria’s natural environment and pleasant, sunny weather. There are many opportunities for particip</w:t>
      </w:r>
      <w:r>
        <w:rPr>
          <w:rFonts w:ascii="Times New Roman" w:eastAsia="Times New Roman" w:hAnsi="Times New Roman" w:cs="Times New Roman"/>
        </w:rPr>
        <w:t xml:space="preserve">ation in outdoor activities, including aquatics, hiking, and cave explorations. But what makes a stay </w:t>
      </w:r>
      <w:proofErr w:type="gramStart"/>
      <w:r>
        <w:rPr>
          <w:rFonts w:ascii="Times New Roman" w:eastAsia="Times New Roman" w:hAnsi="Times New Roman" w:cs="Times New Roman"/>
        </w:rPr>
        <w:t>really successful</w:t>
      </w:r>
      <w:proofErr w:type="gramEnd"/>
      <w:r>
        <w:rPr>
          <w:rFonts w:ascii="Times New Roman" w:eastAsia="Times New Roman" w:hAnsi="Times New Roman" w:cs="Times New Roman"/>
        </w:rPr>
        <w:t xml:space="preserve"> is the Andalusian character and lifestyle: friendly, cheerful, enterprising and proud of their homeland and customs.</w:t>
      </w:r>
    </w:p>
    <w:p w:rsidR="00F93123" w:rsidRDefault="00D52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more details, p</w:t>
      </w:r>
      <w:r>
        <w:rPr>
          <w:rFonts w:ascii="Times New Roman" w:eastAsia="Times New Roman" w:hAnsi="Times New Roman" w:cs="Times New Roman"/>
        </w:rPr>
        <w:t xml:space="preserve">lease see the University’s International Student Guide at   </w:t>
      </w:r>
      <w:hyperlink r:id="rId7">
        <w:r>
          <w:rPr>
            <w:rFonts w:ascii="Times New Roman" w:eastAsia="Times New Roman" w:hAnsi="Times New Roman" w:cs="Times New Roman"/>
            <w:u w:val="single"/>
          </w:rPr>
          <w:t>https://www.ual.es/application/files/3915/9048/9877 /Guide_2020_2021original.pdf</w:t>
        </w:r>
      </w:hyperlink>
      <w:r>
        <w:rPr>
          <w:rFonts w:ascii="Times New Roman" w:eastAsia="Times New Roman" w:hAnsi="Times New Roman" w:cs="Times New Roman"/>
        </w:rPr>
        <w:t xml:space="preserve">  </w:t>
      </w:r>
    </w:p>
    <w:p w:rsidR="00F93123" w:rsidRDefault="00D52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infor</w:t>
      </w:r>
      <w:r>
        <w:rPr>
          <w:rFonts w:ascii="Times New Roman" w:eastAsia="Times New Roman" w:hAnsi="Times New Roman" w:cs="Times New Roman"/>
        </w:rPr>
        <w:t xml:space="preserve">mation on housing can be obtained at </w:t>
      </w:r>
      <w:hyperlink r:id="rId8">
        <w:r>
          <w:rPr>
            <w:rFonts w:ascii="Times New Roman" w:eastAsia="Times New Roman" w:hAnsi="Times New Roman" w:cs="Times New Roman"/>
            <w:u w:val="single"/>
          </w:rPr>
          <w:t>https://www.ual.es/en/vida-universitaria/alojamiento?idioma=en_GB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F93123" w:rsidRDefault="00D52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information for new students is available at </w:t>
      </w:r>
      <w:hyperlink r:id="rId9">
        <w:r>
          <w:rPr>
            <w:rFonts w:ascii="Times New Roman" w:eastAsia="Times New Roman" w:hAnsi="Times New Roman" w:cs="Times New Roman"/>
            <w:u w:val="single"/>
          </w:rPr>
          <w:t>https://www.ual.es/en/comunidad/estudiantes-internacionales?idioma=en_GB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F93123" w:rsidRDefault="00D52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those planning on staying in Spain longer than 90 days the following link contains instructions o</w:t>
      </w:r>
      <w:r>
        <w:rPr>
          <w:rFonts w:ascii="Times New Roman" w:eastAsia="Times New Roman" w:hAnsi="Times New Roman" w:cs="Times New Roman"/>
        </w:rPr>
        <w:t xml:space="preserve">n applying for a student visa.  The closest consulate is in Houston at </w:t>
      </w:r>
    </w:p>
    <w:p w:rsidR="00F93123" w:rsidRDefault="00D52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1800 Bering Drive, Suite 660, Houston. Texas 77057, USA.</w:t>
      </w:r>
    </w:p>
    <w:p w:rsidR="00F93123" w:rsidRDefault="00D52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Telephone: +1 (713) 783-6200</w:t>
      </w:r>
    </w:p>
    <w:p w:rsidR="00F93123" w:rsidRDefault="00D52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Email: </w:t>
      </w:r>
      <w:hyperlink r:id="rId10">
        <w:r>
          <w:rPr>
            <w:rFonts w:ascii="Times New Roman" w:eastAsia="Times New Roman" w:hAnsi="Times New Roman" w:cs="Times New Roman"/>
            <w:u w:val="single"/>
          </w:rPr>
          <w:t>cog.ho</w:t>
        </w:r>
      </w:hyperlink>
      <w:hyperlink r:id="rId11">
        <w:r>
          <w:rPr>
            <w:rFonts w:ascii="Times New Roman" w:eastAsia="Times New Roman" w:hAnsi="Times New Roman" w:cs="Times New Roman"/>
            <w:u w:val="single"/>
          </w:rPr>
          <w:t>u</w:t>
        </w:r>
      </w:hyperlink>
      <w:hyperlink r:id="rId12">
        <w:r>
          <w:rPr>
            <w:rFonts w:ascii="Times New Roman" w:eastAsia="Times New Roman" w:hAnsi="Times New Roman" w:cs="Times New Roman"/>
            <w:u w:val="single"/>
          </w:rPr>
          <w:t>ston@maec.es</w:t>
        </w:r>
      </w:hyperlink>
      <w:r>
        <w:rPr>
          <w:rFonts w:ascii="Times New Roman" w:eastAsia="Times New Roman" w:hAnsi="Times New Roman" w:cs="Times New Roman"/>
        </w:rPr>
        <w:t xml:space="preserve">                                                                    </w:t>
      </w:r>
    </w:p>
    <w:p w:rsidR="00F93123" w:rsidRDefault="00D52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13">
        <w:r>
          <w:rPr>
            <w:rFonts w:ascii="Times New Roman" w:eastAsia="Times New Roman" w:hAnsi="Times New Roman" w:cs="Times New Roman"/>
            <w:u w:val="single"/>
          </w:rPr>
          <w:t>http://www.exteriores.gob.es/Consulados/HOUSTON/en/Pages/inicio.aspx</w:t>
        </w:r>
      </w:hyperlink>
      <w:r>
        <w:rPr>
          <w:rFonts w:ascii="Times New Roman" w:eastAsia="Times New Roman" w:hAnsi="Times New Roman" w:cs="Times New Roman"/>
        </w:rPr>
        <w:t xml:space="preserve">e: </w:t>
      </w:r>
    </w:p>
    <w:p w:rsidR="00F93123" w:rsidRDefault="00F931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</w:p>
    <w:p w:rsidR="009C52E0" w:rsidRDefault="009C5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</w:p>
    <w:p w:rsidR="009C52E0" w:rsidRDefault="009C52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93123" w:rsidRDefault="00D520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rFonts w:ascii="Arial" w:eastAsia="Arial" w:hAnsi="Arial" w:cs="Arial"/>
          <w:b/>
          <w:sz w:val="29"/>
          <w:szCs w:val="29"/>
        </w:rPr>
      </w:pPr>
      <w:r>
        <w:rPr>
          <w:rFonts w:ascii="Arial" w:eastAsia="Arial" w:hAnsi="Arial" w:cs="Arial"/>
          <w:b/>
          <w:sz w:val="29"/>
          <w:szCs w:val="29"/>
        </w:rPr>
        <w:lastRenderedPageBreak/>
        <w:t>COST OF LIVING</w:t>
      </w:r>
    </w:p>
    <w:tbl>
      <w:tblPr>
        <w:tblStyle w:val="a"/>
        <w:tblW w:w="10321" w:type="dxa"/>
        <w:tblLayout w:type="fixed"/>
        <w:tblLook w:val="0400" w:firstRow="0" w:lastRow="0" w:firstColumn="0" w:lastColumn="0" w:noHBand="0" w:noVBand="1"/>
      </w:tblPr>
      <w:tblGrid>
        <w:gridCol w:w="3813"/>
        <w:gridCol w:w="3501"/>
        <w:gridCol w:w="961"/>
        <w:gridCol w:w="30"/>
        <w:gridCol w:w="2016"/>
      </w:tblGrid>
      <w:tr w:rsidR="00F93123">
        <w:trPr>
          <w:gridAfter w:val="3"/>
          <w:wAfter w:w="3007" w:type="dxa"/>
        </w:trPr>
        <w:tc>
          <w:tcPr>
            <w:tcW w:w="7314" w:type="dxa"/>
            <w:gridSpan w:val="2"/>
            <w:vAlign w:val="center"/>
          </w:tcPr>
          <w:p w:rsidR="00F93123" w:rsidRDefault="00D5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u w:val="single"/>
              </w:rPr>
              <w:t xml:space="preserve">Information from </w:t>
            </w:r>
            <w:hyperlink r:id="rId14">
              <w:r>
                <w:rPr>
                  <w:color w:val="0000FF"/>
                  <w:u w:val="single"/>
                </w:rPr>
                <w:t>https://www.numbeo.com/cost-of-living/in/Almeria?displayCurrency=USD</w:t>
              </w:r>
            </w:hyperlink>
            <w:r>
              <w:rPr>
                <w:color w:val="0000FF"/>
              </w:rPr>
              <w:t xml:space="preserve">  </w:t>
            </w:r>
            <w:r>
              <w:t>(Prices as of May 2020)</w:t>
            </w:r>
            <w:r>
              <w:rPr>
                <w:u w:val="single"/>
              </w:rPr>
              <w:t xml:space="preserve"> </w:t>
            </w:r>
          </w:p>
        </w:tc>
      </w:tr>
      <w:tr w:rsidR="00F93123">
        <w:tc>
          <w:tcPr>
            <w:tcW w:w="7314" w:type="dxa"/>
            <w:gridSpan w:val="2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Restaurants</w:t>
            </w:r>
          </w:p>
        </w:tc>
        <w:tc>
          <w:tcPr>
            <w:tcW w:w="961" w:type="dxa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980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F93123">
        <w:tc>
          <w:tcPr>
            <w:tcW w:w="7314" w:type="dxa"/>
            <w:gridSpan w:val="2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Meal, Inexpensive Restaurant</w:t>
            </w:r>
          </w:p>
        </w:tc>
        <w:tc>
          <w:tcPr>
            <w:tcW w:w="961" w:type="dxa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$11.26 </w:t>
            </w:r>
          </w:p>
        </w:tc>
        <w:tc>
          <w:tcPr>
            <w:tcW w:w="2046" w:type="dxa"/>
            <w:gridSpan w:val="2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F93123">
        <w:tc>
          <w:tcPr>
            <w:tcW w:w="7314" w:type="dxa"/>
            <w:gridSpan w:val="2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Meal for 2 People, Mid-range Restaurant, Three-course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$39.41 </w:t>
            </w:r>
          </w:p>
        </w:tc>
        <w:tc>
          <w:tcPr>
            <w:tcW w:w="2046" w:type="dxa"/>
            <w:gridSpan w:val="2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3123">
        <w:tc>
          <w:tcPr>
            <w:tcW w:w="7314" w:type="dxa"/>
            <w:gridSpan w:val="2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McMeal</w:t>
            </w:r>
            <w:proofErr w:type="spellEnd"/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 at McDonalds (or Equivalent Combo Meal)</w:t>
            </w:r>
          </w:p>
        </w:tc>
        <w:tc>
          <w:tcPr>
            <w:tcW w:w="961" w:type="dxa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$9.01 </w:t>
            </w:r>
          </w:p>
        </w:tc>
        <w:tc>
          <w:tcPr>
            <w:tcW w:w="2046" w:type="dxa"/>
            <w:gridSpan w:val="2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3123">
        <w:tc>
          <w:tcPr>
            <w:tcW w:w="7314" w:type="dxa"/>
            <w:gridSpan w:val="2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Domestic Beer (1pint draught)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$2.53</w:t>
            </w:r>
          </w:p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46" w:type="dxa"/>
            <w:gridSpan w:val="2"/>
            <w:vAlign w:val="center"/>
          </w:tcPr>
          <w:p w:rsidR="00F93123" w:rsidRDefault="00F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23">
        <w:trPr>
          <w:gridAfter w:val="1"/>
          <w:wAfter w:w="2016" w:type="dxa"/>
        </w:trPr>
        <w:tc>
          <w:tcPr>
            <w:tcW w:w="3813" w:type="dxa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Markets</w:t>
            </w:r>
          </w:p>
        </w:tc>
        <w:tc>
          <w:tcPr>
            <w:tcW w:w="3501" w:type="dxa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F93123">
        <w:trPr>
          <w:gridAfter w:val="1"/>
          <w:wAfter w:w="2016" w:type="dxa"/>
        </w:trPr>
        <w:tc>
          <w:tcPr>
            <w:tcW w:w="3813" w:type="dxa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Milk (regular), (1 gallon)</w:t>
            </w:r>
          </w:p>
        </w:tc>
        <w:tc>
          <w:tcPr>
            <w:tcW w:w="3501" w:type="dxa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$3.28 </w:t>
            </w:r>
          </w:p>
        </w:tc>
        <w:tc>
          <w:tcPr>
            <w:tcW w:w="991" w:type="dxa"/>
            <w:gridSpan w:val="2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3123">
        <w:trPr>
          <w:gridAfter w:val="1"/>
          <w:wAfter w:w="2016" w:type="dxa"/>
        </w:trPr>
        <w:tc>
          <w:tcPr>
            <w:tcW w:w="3813" w:type="dxa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Loaf of Fresh White Bread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3501" w:type="dxa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$0.96 </w:t>
            </w:r>
          </w:p>
        </w:tc>
        <w:tc>
          <w:tcPr>
            <w:tcW w:w="991" w:type="dxa"/>
            <w:gridSpan w:val="2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93123">
        <w:trPr>
          <w:gridAfter w:val="1"/>
          <w:wAfter w:w="2016" w:type="dxa"/>
          <w:trHeight w:val="393"/>
        </w:trPr>
        <w:tc>
          <w:tcPr>
            <w:tcW w:w="3813" w:type="dxa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Rice (white), (1 </w:t>
            </w:r>
            <w:proofErr w:type="spellStart"/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lb</w:t>
            </w:r>
            <w:proofErr w:type="spellEnd"/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3501" w:type="dxa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$0.54 </w:t>
            </w:r>
          </w:p>
        </w:tc>
        <w:tc>
          <w:tcPr>
            <w:tcW w:w="991" w:type="dxa"/>
            <w:gridSpan w:val="2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F93123">
        <w:trPr>
          <w:gridAfter w:val="1"/>
          <w:wAfter w:w="2016" w:type="dxa"/>
        </w:trPr>
        <w:tc>
          <w:tcPr>
            <w:tcW w:w="3813" w:type="dxa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Eggs (regular) (12)</w:t>
            </w:r>
          </w:p>
        </w:tc>
        <w:tc>
          <w:tcPr>
            <w:tcW w:w="3501" w:type="dxa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$1.67</w:t>
            </w:r>
          </w:p>
        </w:tc>
        <w:tc>
          <w:tcPr>
            <w:tcW w:w="991" w:type="dxa"/>
            <w:gridSpan w:val="2"/>
            <w:vAlign w:val="center"/>
          </w:tcPr>
          <w:p w:rsidR="00F93123" w:rsidRDefault="00F93123">
            <w:pPr>
              <w:rPr>
                <w:sz w:val="20"/>
                <w:szCs w:val="20"/>
              </w:rPr>
            </w:pPr>
          </w:p>
        </w:tc>
      </w:tr>
    </w:tbl>
    <w:p w:rsidR="00F93123" w:rsidRDefault="00D520C9">
      <w:pPr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Apples (1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lb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>)</w:t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                                                        $ 0.85 </w:t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</w:t>
      </w:r>
    </w:p>
    <w:p w:rsidR="00F93123" w:rsidRDefault="00D520C9">
      <w:pPr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Banana (1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lb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>)</w:t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                                                        $ 0.64 </w:t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</w:t>
      </w:r>
    </w:p>
    <w:p w:rsidR="00F93123" w:rsidRDefault="00D520C9">
      <w:pPr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Oranges (1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lb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>)</w:t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                                                        $ 0.77 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</w:p>
    <w:tbl>
      <w:tblPr>
        <w:tblStyle w:val="a0"/>
        <w:tblW w:w="9360" w:type="dxa"/>
        <w:tblLayout w:type="fixed"/>
        <w:tblLook w:val="0400" w:firstRow="0" w:lastRow="0" w:firstColumn="0" w:lastColumn="0" w:noHBand="0" w:noVBand="1"/>
      </w:tblPr>
      <w:tblGrid>
        <w:gridCol w:w="5518"/>
        <w:gridCol w:w="846"/>
        <w:gridCol w:w="1274"/>
        <w:gridCol w:w="961"/>
        <w:gridCol w:w="554"/>
        <w:gridCol w:w="66"/>
        <w:gridCol w:w="30"/>
        <w:gridCol w:w="30"/>
        <w:gridCol w:w="81"/>
      </w:tblGrid>
      <w:tr w:rsidR="00F93123">
        <w:trPr>
          <w:gridAfter w:val="3"/>
          <w:wAfter w:w="141" w:type="dxa"/>
        </w:trPr>
        <w:tc>
          <w:tcPr>
            <w:tcW w:w="5518" w:type="dxa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Transpo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rtation</w:t>
            </w:r>
          </w:p>
        </w:tc>
        <w:tc>
          <w:tcPr>
            <w:tcW w:w="3635" w:type="dxa"/>
            <w:gridSpan w:val="4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6" w:type="dxa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F93123">
        <w:trPr>
          <w:gridAfter w:val="3"/>
          <w:wAfter w:w="141" w:type="dxa"/>
        </w:trPr>
        <w:tc>
          <w:tcPr>
            <w:tcW w:w="5518" w:type="dxa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One-way Ticket (Local Transport)</w:t>
            </w:r>
          </w:p>
        </w:tc>
        <w:tc>
          <w:tcPr>
            <w:tcW w:w="3635" w:type="dxa"/>
            <w:gridSpan w:val="4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                    $1.18 </w:t>
            </w:r>
          </w:p>
        </w:tc>
        <w:tc>
          <w:tcPr>
            <w:tcW w:w="66" w:type="dxa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3123">
        <w:trPr>
          <w:gridAfter w:val="3"/>
          <w:wAfter w:w="141" w:type="dxa"/>
        </w:trPr>
        <w:tc>
          <w:tcPr>
            <w:tcW w:w="5518" w:type="dxa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Monthly Pass (Regular Price)</w:t>
            </w:r>
          </w:p>
        </w:tc>
        <w:tc>
          <w:tcPr>
            <w:tcW w:w="3635" w:type="dxa"/>
            <w:gridSpan w:val="4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$36.65 </w:t>
            </w:r>
          </w:p>
        </w:tc>
        <w:tc>
          <w:tcPr>
            <w:tcW w:w="66" w:type="dxa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3123">
        <w:trPr>
          <w:gridAfter w:val="3"/>
          <w:wAfter w:w="141" w:type="dxa"/>
        </w:trPr>
        <w:tc>
          <w:tcPr>
            <w:tcW w:w="5518" w:type="dxa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Taxi Start (Normal Tariff)</w:t>
            </w:r>
          </w:p>
        </w:tc>
        <w:tc>
          <w:tcPr>
            <w:tcW w:w="3635" w:type="dxa"/>
            <w:gridSpan w:val="4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$2.25 </w:t>
            </w:r>
          </w:p>
        </w:tc>
        <w:tc>
          <w:tcPr>
            <w:tcW w:w="66" w:type="dxa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F93123">
        <w:trPr>
          <w:gridAfter w:val="3"/>
          <w:wAfter w:w="141" w:type="dxa"/>
        </w:trPr>
        <w:tc>
          <w:tcPr>
            <w:tcW w:w="5518" w:type="dxa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Taxi 1 mile (Normal Tariff)</w:t>
            </w:r>
          </w:p>
        </w:tc>
        <w:tc>
          <w:tcPr>
            <w:tcW w:w="3635" w:type="dxa"/>
            <w:gridSpan w:val="4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$1.49 </w:t>
            </w:r>
          </w:p>
        </w:tc>
        <w:tc>
          <w:tcPr>
            <w:tcW w:w="66" w:type="dxa"/>
            <w:vAlign w:val="center"/>
          </w:tcPr>
          <w:p w:rsidR="00F93123" w:rsidRDefault="00F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23">
        <w:trPr>
          <w:gridAfter w:val="7"/>
          <w:wAfter w:w="2996" w:type="dxa"/>
        </w:trPr>
        <w:tc>
          <w:tcPr>
            <w:tcW w:w="6364" w:type="dxa"/>
            <w:gridSpan w:val="2"/>
            <w:vAlign w:val="center"/>
          </w:tcPr>
          <w:p w:rsidR="00F93123" w:rsidRDefault="00F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23">
        <w:trPr>
          <w:gridAfter w:val="2"/>
          <w:wAfter w:w="111" w:type="dxa"/>
        </w:trPr>
        <w:tc>
          <w:tcPr>
            <w:tcW w:w="6364" w:type="dxa"/>
            <w:gridSpan w:val="2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Rent Per Month</w:t>
            </w:r>
          </w:p>
        </w:tc>
        <w:tc>
          <w:tcPr>
            <w:tcW w:w="2235" w:type="dxa"/>
            <w:gridSpan w:val="2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F93123">
        <w:trPr>
          <w:gridAfter w:val="2"/>
          <w:wAfter w:w="111" w:type="dxa"/>
        </w:trPr>
        <w:tc>
          <w:tcPr>
            <w:tcW w:w="6364" w:type="dxa"/>
            <w:gridSpan w:val="2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Apartment (1 bedroom) in City Centre</w:t>
            </w:r>
          </w:p>
        </w:tc>
        <w:tc>
          <w:tcPr>
            <w:tcW w:w="2235" w:type="dxa"/>
            <w:gridSpan w:val="2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             $439.16</w:t>
            </w:r>
          </w:p>
        </w:tc>
        <w:tc>
          <w:tcPr>
            <w:tcW w:w="650" w:type="dxa"/>
            <w:gridSpan w:val="3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F93123">
        <w:trPr>
          <w:gridAfter w:val="2"/>
          <w:wAfter w:w="111" w:type="dxa"/>
          <w:trHeight w:val="348"/>
        </w:trPr>
        <w:tc>
          <w:tcPr>
            <w:tcW w:w="6364" w:type="dxa"/>
            <w:gridSpan w:val="2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Apartment (1 bedroom) Outside of Centre</w:t>
            </w:r>
          </w:p>
        </w:tc>
        <w:tc>
          <w:tcPr>
            <w:tcW w:w="2235" w:type="dxa"/>
            <w:gridSpan w:val="2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$358.93</w:t>
            </w:r>
          </w:p>
          <w:p w:rsidR="00F93123" w:rsidRDefault="00F9312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F93123" w:rsidRDefault="00F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23">
        <w:trPr>
          <w:gridAfter w:val="6"/>
          <w:wAfter w:w="1722" w:type="dxa"/>
        </w:trPr>
        <w:tc>
          <w:tcPr>
            <w:tcW w:w="7638" w:type="dxa"/>
            <w:gridSpan w:val="3"/>
            <w:vAlign w:val="center"/>
          </w:tcPr>
          <w:p w:rsidR="00F93123" w:rsidRDefault="00F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23">
        <w:tc>
          <w:tcPr>
            <w:tcW w:w="7638" w:type="dxa"/>
            <w:gridSpan w:val="3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Utilities (Monthly)</w:t>
            </w:r>
          </w:p>
        </w:tc>
        <w:tc>
          <w:tcPr>
            <w:tcW w:w="1641" w:type="dxa"/>
            <w:gridSpan w:val="5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81" w:type="dxa"/>
            <w:tcBorders>
              <w:top w:val="single" w:sz="6" w:space="0" w:color="C5DBEC"/>
              <w:bottom w:val="single" w:sz="6" w:space="0" w:color="C5DBEC"/>
            </w:tcBorders>
            <w:shd w:val="clear" w:color="auto" w:fill="DFEFFC"/>
            <w:tcMar>
              <w:top w:w="135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F93123">
        <w:tc>
          <w:tcPr>
            <w:tcW w:w="7638" w:type="dxa"/>
            <w:gridSpan w:val="3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Basic (Electricity, Heating, Cooling, Water, Garbage) for 915 </w:t>
            </w:r>
            <w:proofErr w:type="spellStart"/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sq</w:t>
            </w:r>
            <w:proofErr w:type="spellEnd"/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 ft Apartment</w:t>
            </w:r>
          </w:p>
        </w:tc>
        <w:tc>
          <w:tcPr>
            <w:tcW w:w="1641" w:type="dxa"/>
            <w:gridSpan w:val="5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$120.14 </w:t>
            </w:r>
          </w:p>
        </w:tc>
        <w:tc>
          <w:tcPr>
            <w:tcW w:w="81" w:type="dxa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F93123">
        <w:tc>
          <w:tcPr>
            <w:tcW w:w="7638" w:type="dxa"/>
            <w:gridSpan w:val="3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1 min. of Prepaid Mobile Tariff Local (No Discounts or Plans)</w:t>
            </w:r>
          </w:p>
        </w:tc>
        <w:tc>
          <w:tcPr>
            <w:tcW w:w="1641" w:type="dxa"/>
            <w:gridSpan w:val="5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$0.15 </w:t>
            </w:r>
          </w:p>
        </w:tc>
        <w:tc>
          <w:tcPr>
            <w:tcW w:w="81" w:type="dxa"/>
            <w:tcBorders>
              <w:top w:val="nil"/>
            </w:tcBorders>
            <w:shd w:val="clear" w:color="auto" w:fill="F6F6FF"/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F93123">
        <w:tc>
          <w:tcPr>
            <w:tcW w:w="7638" w:type="dxa"/>
            <w:gridSpan w:val="3"/>
            <w:tcBorders>
              <w:top w:val="nil"/>
              <w:bottom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Internet (60 Mbps or More, Unlimited Data, Cable/ADSL)</w:t>
            </w:r>
          </w:p>
        </w:tc>
        <w:tc>
          <w:tcPr>
            <w:tcW w:w="1641" w:type="dxa"/>
            <w:gridSpan w:val="5"/>
            <w:tcBorders>
              <w:top w:val="nil"/>
              <w:bottom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D52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$47.58 </w:t>
            </w:r>
          </w:p>
        </w:tc>
        <w:tc>
          <w:tcPr>
            <w:tcW w:w="81" w:type="dxa"/>
            <w:vAlign w:val="center"/>
          </w:tcPr>
          <w:p w:rsidR="00F93123" w:rsidRDefault="00F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123">
        <w:tc>
          <w:tcPr>
            <w:tcW w:w="7638" w:type="dxa"/>
            <w:gridSpan w:val="3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  <w:p w:rsidR="00F93123" w:rsidRDefault="00F93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  <w:p w:rsidR="00F93123" w:rsidRDefault="00F93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  <w:p w:rsidR="00F93123" w:rsidRDefault="00F93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5"/>
            <w:tcBorders>
              <w:top w:val="nil"/>
            </w:tcBorders>
            <w:tcMar>
              <w:top w:w="60" w:type="dxa"/>
              <w:left w:w="15" w:type="dxa"/>
              <w:bottom w:w="45" w:type="dxa"/>
              <w:right w:w="15" w:type="dxa"/>
            </w:tcMar>
            <w:vAlign w:val="center"/>
          </w:tcPr>
          <w:p w:rsidR="00F93123" w:rsidRDefault="00F9312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81" w:type="dxa"/>
            <w:vAlign w:val="center"/>
          </w:tcPr>
          <w:p w:rsidR="00F93123" w:rsidRDefault="00F9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3123" w:rsidRDefault="00F93123">
      <w:pPr>
        <w:rPr>
          <w:rFonts w:ascii="Arial" w:eastAsia="Arial" w:hAnsi="Arial" w:cs="Arial"/>
          <w:color w:val="202122"/>
          <w:sz w:val="21"/>
          <w:szCs w:val="21"/>
          <w:highlight w:val="white"/>
        </w:rPr>
      </w:pPr>
    </w:p>
    <w:sectPr w:rsidR="00F93123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0C9" w:rsidRDefault="00D520C9">
      <w:pPr>
        <w:spacing w:after="0" w:line="240" w:lineRule="auto"/>
      </w:pPr>
      <w:r>
        <w:separator/>
      </w:r>
    </w:p>
  </w:endnote>
  <w:endnote w:type="continuationSeparator" w:id="0">
    <w:p w:rsidR="00D520C9" w:rsidRDefault="00D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0C9" w:rsidRDefault="00D520C9">
      <w:pPr>
        <w:spacing w:after="0" w:line="240" w:lineRule="auto"/>
      </w:pPr>
      <w:r>
        <w:separator/>
      </w:r>
    </w:p>
  </w:footnote>
  <w:footnote w:type="continuationSeparator" w:id="0">
    <w:p w:rsidR="00D520C9" w:rsidRDefault="00D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23" w:rsidRDefault="00D520C9">
    <w:pPr>
      <w:rPr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>More about Almeria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23"/>
    <w:rsid w:val="009C52E0"/>
    <w:rsid w:val="00D520C9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B9C9"/>
  <w15:docId w15:val="{CEFB752E-00E1-4143-8192-246A9C7E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.es/en/vida-universitaria/alojamiento?idioma=en_GB" TargetMode="External"/><Relationship Id="rId13" Type="http://schemas.openxmlformats.org/officeDocument/2006/relationships/hyperlink" Target="http://www.exteriores.gob.es/Consulados/HOUSTON/en/Pages/inicio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al.es/application/files/3915/9048/9877%20/Guide_2020_2021original.pdf" TargetMode="External"/><Relationship Id="rId12" Type="http://schemas.openxmlformats.org/officeDocument/2006/relationships/hyperlink" Target="mailto:cog.houston@maec.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cog.houston@maec.e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cog.houston@maec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al.es/en/comunidad/estudiantes-internacionales?idioma=en_GB" TargetMode="External"/><Relationship Id="rId14" Type="http://schemas.openxmlformats.org/officeDocument/2006/relationships/hyperlink" Target="https://www.numbeo.com/cost-of-living/in/Almeria?displayCurrency=U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 College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Leinweber, Anna</cp:lastModifiedBy>
  <cp:revision>2</cp:revision>
  <dcterms:created xsi:type="dcterms:W3CDTF">2020-07-09T14:43:00Z</dcterms:created>
  <dcterms:modified xsi:type="dcterms:W3CDTF">2020-07-09T14:43:00Z</dcterms:modified>
</cp:coreProperties>
</file>